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76F0" w14:textId="108A3F0E" w:rsidR="00A3684F" w:rsidRDefault="00A3684F" w:rsidP="00844C5B">
      <w:pPr>
        <w:spacing w:after="240" w:line="300" w:lineRule="exact"/>
        <w:ind w:left="-576"/>
        <w:rPr>
          <w:rFonts w:cstheme="minorHAnsi"/>
          <w:color w:val="1F2555" w:themeColor="accent1"/>
          <w:szCs w:val="22"/>
        </w:rPr>
      </w:pPr>
      <w:r w:rsidRPr="00B5001F">
        <w:rPr>
          <w:rFonts w:cstheme="minorHAnsi"/>
          <w:color w:val="1F2555" w:themeColor="accent1"/>
          <w:szCs w:val="22"/>
        </w:rPr>
        <w:t xml:space="preserve">Before starting your Pega project, ensure that </w:t>
      </w:r>
      <w:r w:rsidR="004117A4">
        <w:rPr>
          <w:rFonts w:cstheme="minorHAnsi"/>
          <w:color w:val="1F2555" w:themeColor="accent1"/>
          <w:szCs w:val="22"/>
        </w:rPr>
        <w:t>all</w:t>
      </w:r>
      <w:r w:rsidRPr="00B5001F">
        <w:rPr>
          <w:rFonts w:cstheme="minorHAnsi"/>
          <w:color w:val="1F2555" w:themeColor="accent1"/>
          <w:szCs w:val="22"/>
        </w:rPr>
        <w:t xml:space="preserve"> prerequisite</w:t>
      </w:r>
      <w:r w:rsidR="00844C5B">
        <w:rPr>
          <w:rFonts w:cstheme="minorHAnsi"/>
          <w:color w:val="1F2555" w:themeColor="accent1"/>
          <w:szCs w:val="22"/>
        </w:rPr>
        <w:t>s</w:t>
      </w:r>
      <w:r w:rsidRPr="00B5001F">
        <w:rPr>
          <w:rFonts w:cstheme="minorHAnsi"/>
          <w:color w:val="1F2555" w:themeColor="accent1"/>
          <w:szCs w:val="22"/>
        </w:rPr>
        <w:t xml:space="preserve"> and “must have” items are in place. </w:t>
      </w:r>
      <w:r w:rsidR="002D4AAF">
        <w:rPr>
          <w:rFonts w:cstheme="minorHAnsi"/>
          <w:color w:val="1F2555" w:themeColor="accent1"/>
          <w:szCs w:val="22"/>
        </w:rPr>
        <w:t xml:space="preserve">These fall </w:t>
      </w:r>
      <w:r w:rsidR="004117A4">
        <w:rPr>
          <w:rFonts w:cstheme="minorHAnsi"/>
          <w:color w:val="1F2555" w:themeColor="accent1"/>
          <w:szCs w:val="22"/>
        </w:rPr>
        <w:t xml:space="preserve">into three categories: </w:t>
      </w:r>
      <w:r w:rsidRPr="00B5001F">
        <w:rPr>
          <w:rFonts w:cstheme="minorHAnsi"/>
          <w:color w:val="1F2555" w:themeColor="accent1"/>
          <w:szCs w:val="22"/>
        </w:rPr>
        <w:t>people, process, and technology.</w:t>
      </w:r>
    </w:p>
    <w:p w14:paraId="00E5915C" w14:textId="77777777" w:rsidR="00A3684F" w:rsidRPr="00844C5B" w:rsidRDefault="00A3684F" w:rsidP="00844C5B">
      <w:pPr>
        <w:spacing w:before="120" w:after="120" w:line="260" w:lineRule="exact"/>
        <w:ind w:left="-576"/>
        <w:rPr>
          <w:b/>
          <w:color w:val="1F2555" w:themeColor="accent1"/>
          <w:szCs w:val="22"/>
        </w:rPr>
      </w:pPr>
      <w:r w:rsidRPr="00844C5B">
        <w:rPr>
          <w:b/>
          <w:color w:val="1F2555" w:themeColor="accent1"/>
          <w:szCs w:val="22"/>
        </w:rPr>
        <w:t>People</w:t>
      </w:r>
    </w:p>
    <w:p w14:paraId="67B1FD3A" w14:textId="5885A4CD" w:rsidR="000C7285" w:rsidRDefault="000C7285" w:rsidP="000C7285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 xml:space="preserve">Identify all stakeholders and create a matrix </w:t>
      </w:r>
      <w:r w:rsidR="002D4AAF">
        <w:rPr>
          <w:color w:val="1F2555" w:themeColor="accent1"/>
        </w:rPr>
        <w:t>to show the</w:t>
      </w:r>
      <w:r>
        <w:rPr>
          <w:color w:val="1F2555" w:themeColor="accent1"/>
        </w:rPr>
        <w:t xml:space="preserve"> reporting structure</w:t>
      </w:r>
      <w:r w:rsidR="002D4AAF">
        <w:rPr>
          <w:color w:val="1F2555" w:themeColor="accent1"/>
        </w:rPr>
        <w:t>.</w:t>
      </w:r>
    </w:p>
    <w:p w14:paraId="303FEDE0" w14:textId="4896FC21" w:rsidR="000C7285" w:rsidRPr="00844C5B" w:rsidRDefault="002D4AAF" w:rsidP="000C7285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>Identify</w:t>
      </w:r>
      <w:r w:rsidR="000C7285" w:rsidRPr="00844C5B">
        <w:rPr>
          <w:color w:val="1F2555" w:themeColor="accent1"/>
        </w:rPr>
        <w:t xml:space="preserve"> a</w:t>
      </w:r>
      <w:r w:rsidR="000C7285">
        <w:rPr>
          <w:color w:val="1F2555" w:themeColor="accent1"/>
        </w:rPr>
        <w:t>n internal</w:t>
      </w:r>
      <w:r w:rsidR="000C7285" w:rsidRPr="00844C5B">
        <w:rPr>
          <w:color w:val="1F2555" w:themeColor="accent1"/>
        </w:rPr>
        <w:t xml:space="preserve"> </w:t>
      </w:r>
      <w:r w:rsidR="000C7285">
        <w:rPr>
          <w:color w:val="1F2555" w:themeColor="accent1"/>
        </w:rPr>
        <w:t xml:space="preserve">empowered </w:t>
      </w:r>
      <w:r w:rsidR="000C7285" w:rsidRPr="00844C5B">
        <w:rPr>
          <w:color w:val="1F2555" w:themeColor="accent1"/>
        </w:rPr>
        <w:t>Product Owner</w:t>
      </w:r>
      <w:r w:rsidR="000C7285">
        <w:rPr>
          <w:color w:val="1F2555" w:themeColor="accent1"/>
        </w:rPr>
        <w:t xml:space="preserve"> </w:t>
      </w:r>
      <w:r w:rsidR="000C7285" w:rsidRPr="00844C5B">
        <w:rPr>
          <w:color w:val="1F2555" w:themeColor="accent1"/>
        </w:rPr>
        <w:t xml:space="preserve">and arrange </w:t>
      </w:r>
      <w:hyperlink r:id="rId10" w:history="1">
        <w:r w:rsidR="000C7285" w:rsidRPr="004117A4">
          <w:rPr>
            <w:rStyle w:val="Hyperlink"/>
            <w:color w:val="00A6A7" w:themeColor="text2"/>
          </w:rPr>
          <w:t>training</w:t>
        </w:r>
      </w:hyperlink>
      <w:r w:rsidR="000C7285" w:rsidRPr="00844C5B">
        <w:rPr>
          <w:color w:val="1F2555" w:themeColor="accent1"/>
        </w:rPr>
        <w:t xml:space="preserve"> as necessary.</w:t>
      </w:r>
      <w:r w:rsidR="000C7285">
        <w:rPr>
          <w:color w:val="1F2555" w:themeColor="accent1"/>
        </w:rPr>
        <w:t xml:space="preserve"> This will ensure that the Backlog is appropriately managed from the start.</w:t>
      </w:r>
    </w:p>
    <w:p w14:paraId="4BD63C48" w14:textId="5E2FDDCF" w:rsidR="000C7285" w:rsidRDefault="000C7285" w:rsidP="000C7285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>Identify subject matter experts to support the Product Owner.</w:t>
      </w:r>
    </w:p>
    <w:p w14:paraId="15F57351" w14:textId="0ED8F7A4" w:rsidR="000C7285" w:rsidRDefault="000C7285" w:rsidP="000C7285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 xml:space="preserve">Identify an on-shore / off-shore / near-shore resource model as applicable. </w:t>
      </w:r>
      <w:r w:rsidR="002D4AAF">
        <w:rPr>
          <w:color w:val="1F2555" w:themeColor="accent1"/>
        </w:rPr>
        <w:t>Agree</w:t>
      </w:r>
      <w:r>
        <w:rPr>
          <w:color w:val="1F2555" w:themeColor="accent1"/>
        </w:rPr>
        <w:t xml:space="preserve"> how this will be managed.</w:t>
      </w:r>
    </w:p>
    <w:p w14:paraId="0CE97839" w14:textId="190FBB56" w:rsidR="000C7285" w:rsidRPr="00A61EE3" w:rsidRDefault="000C7285" w:rsidP="000C7285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>Identify a S</w:t>
      </w:r>
      <w:r w:rsidRPr="00A61EE3">
        <w:rPr>
          <w:color w:val="1F2555" w:themeColor="accent1"/>
        </w:rPr>
        <w:t>crum Master</w:t>
      </w:r>
      <w:r>
        <w:rPr>
          <w:color w:val="1F2555" w:themeColor="accent1"/>
        </w:rPr>
        <w:t xml:space="preserve">, </w:t>
      </w:r>
      <w:r w:rsidR="002D4AAF">
        <w:rPr>
          <w:color w:val="1F2555" w:themeColor="accent1"/>
        </w:rPr>
        <w:t xml:space="preserve">Test Manager and Business </w:t>
      </w:r>
      <w:r w:rsidRPr="00A61EE3">
        <w:rPr>
          <w:color w:val="1F2555" w:themeColor="accent1"/>
        </w:rPr>
        <w:t xml:space="preserve">Change Manager </w:t>
      </w:r>
      <w:r>
        <w:rPr>
          <w:color w:val="1F2555" w:themeColor="accent1"/>
        </w:rPr>
        <w:t>based on the resource model.</w:t>
      </w:r>
    </w:p>
    <w:p w14:paraId="0206246F" w14:textId="3AAB6093" w:rsidR="00A3684F" w:rsidRPr="00A61EE3" w:rsidRDefault="000C7285" w:rsidP="00A61EE3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t>Resource</w:t>
      </w:r>
      <w:r w:rsidR="00A3684F" w:rsidRPr="00844C5B">
        <w:t xml:space="preserve"> the project team </w:t>
      </w:r>
      <w:r>
        <w:t xml:space="preserve">with appropriately </w:t>
      </w:r>
      <w:r w:rsidR="00A3684F" w:rsidRPr="00844C5B">
        <w:t xml:space="preserve">skilled </w:t>
      </w:r>
      <w:r>
        <w:t xml:space="preserve">people.  This may </w:t>
      </w:r>
      <w:r w:rsidR="00C745B3">
        <w:t>includ</w:t>
      </w:r>
      <w:r>
        <w:t>e</w:t>
      </w:r>
      <w:r w:rsidR="00C745B3">
        <w:t xml:space="preserve"> hiring</w:t>
      </w:r>
      <w:r w:rsidR="00A3684F" w:rsidRPr="00844C5B">
        <w:t xml:space="preserve">. Use </w:t>
      </w:r>
      <w:hyperlink r:id="rId11" w:history="1">
        <w:r w:rsidR="00A3684F" w:rsidRPr="000C7285">
          <w:rPr>
            <w:rStyle w:val="Hyperlink"/>
            <w:color w:val="00A6A7"/>
          </w:rPr>
          <w:t>Find a Community Member</w:t>
        </w:r>
      </w:hyperlink>
      <w:r w:rsidR="00A3684F">
        <w:t xml:space="preserve"> </w:t>
      </w:r>
      <w:r w:rsidR="00A3684F" w:rsidRPr="00844C5B">
        <w:t>to verify qualifications.</w:t>
      </w:r>
    </w:p>
    <w:p w14:paraId="225A009A" w14:textId="35727177" w:rsidR="000C7285" w:rsidRDefault="000C7285" w:rsidP="000C7285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 xml:space="preserve">Enroll business and technical resources </w:t>
      </w:r>
      <w:r w:rsidRPr="00844C5B">
        <w:rPr>
          <w:color w:val="1F2555" w:themeColor="accent1"/>
        </w:rPr>
        <w:t xml:space="preserve">in appropriate </w:t>
      </w:r>
      <w:hyperlink r:id="rId12" w:history="1">
        <w:r w:rsidRPr="00841F62">
          <w:rPr>
            <w:rStyle w:val="Hyperlink"/>
            <w:color w:val="00A6A7"/>
          </w:rPr>
          <w:t>Pega Academy</w:t>
        </w:r>
      </w:hyperlink>
      <w:r w:rsidRPr="00243DA4">
        <w:t xml:space="preserve"> </w:t>
      </w:r>
      <w:r w:rsidRPr="00844C5B">
        <w:rPr>
          <w:color w:val="1F2555" w:themeColor="accent1"/>
        </w:rPr>
        <w:t>courses and certification</w:t>
      </w:r>
      <w:r>
        <w:rPr>
          <w:color w:val="1F2555" w:themeColor="accent1"/>
        </w:rPr>
        <w:t>s to ensure readiness</w:t>
      </w:r>
      <w:r w:rsidRPr="00844C5B">
        <w:rPr>
          <w:color w:val="1F2555" w:themeColor="accent1"/>
        </w:rPr>
        <w:t>.</w:t>
      </w:r>
    </w:p>
    <w:p w14:paraId="0277C344" w14:textId="1B3EE9C5" w:rsidR="00F6319E" w:rsidRPr="00844C5B" w:rsidRDefault="00F6319E" w:rsidP="000C7285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>Ensure it is clear who will be performing coaching/mentoring functions.</w:t>
      </w:r>
    </w:p>
    <w:p w14:paraId="46A68B6E" w14:textId="615E9C46" w:rsidR="00A3684F" w:rsidRPr="004F0B64" w:rsidRDefault="00A3684F" w:rsidP="00844C5B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4F0B64">
        <w:rPr>
          <w:color w:val="1F2555" w:themeColor="accent1"/>
        </w:rPr>
        <w:t xml:space="preserve">Secure </w:t>
      </w:r>
      <w:r w:rsidR="000C7285">
        <w:rPr>
          <w:color w:val="1F2555" w:themeColor="accent1"/>
        </w:rPr>
        <w:t xml:space="preserve">any </w:t>
      </w:r>
      <w:r w:rsidRPr="004F0B64">
        <w:rPr>
          <w:color w:val="1F2555" w:themeColor="accent1"/>
        </w:rPr>
        <w:t>necessary work visas / security clearances.</w:t>
      </w:r>
    </w:p>
    <w:p w14:paraId="7E3FC3B6" w14:textId="77777777" w:rsidR="00A3684F" w:rsidRDefault="00A3684F" w:rsidP="00844C5B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>
        <w:rPr>
          <w:color w:val="1F2555" w:themeColor="accent1"/>
        </w:rPr>
        <w:t xml:space="preserve">Ensure that equipment use, work spaces, physical access restrictions, remote access, travel, and other policies that </w:t>
      </w:r>
      <w:r w:rsidR="00B5001F" w:rsidRPr="00844C5B">
        <w:rPr>
          <w:color w:val="1F2555" w:themeColor="accent1"/>
        </w:rPr>
        <w:t>impact</w:t>
      </w:r>
      <w:r w:rsidRPr="00844C5B">
        <w:rPr>
          <w:color w:val="1F2555" w:themeColor="accent1"/>
        </w:rPr>
        <w:t xml:space="preserve"> resource selection have been communicated and addressed.</w:t>
      </w:r>
    </w:p>
    <w:p w14:paraId="6F442BA1" w14:textId="77777777" w:rsidR="003459A7" w:rsidRPr="003459A7" w:rsidRDefault="003459A7" w:rsidP="003459A7">
      <w:pPr>
        <w:pStyle w:val="ListParagraph"/>
        <w:spacing w:after="120" w:line="240" w:lineRule="auto"/>
        <w:ind w:left="-216"/>
        <w:contextualSpacing w:val="0"/>
        <w:rPr>
          <w:color w:val="1F2555" w:themeColor="accent1"/>
          <w:sz w:val="8"/>
        </w:rPr>
      </w:pPr>
    </w:p>
    <w:p w14:paraId="254AABE9" w14:textId="77777777" w:rsidR="000F46A8" w:rsidRPr="00844C5B" w:rsidRDefault="00A3684F" w:rsidP="00844C5B">
      <w:pPr>
        <w:spacing w:before="120" w:after="120" w:line="260" w:lineRule="exact"/>
        <w:ind w:left="-576"/>
        <w:rPr>
          <w:b/>
          <w:color w:val="1F2555" w:themeColor="accent1"/>
          <w:szCs w:val="22"/>
        </w:rPr>
      </w:pPr>
      <w:r w:rsidRPr="00844C5B">
        <w:rPr>
          <w:b/>
          <w:color w:val="1F2555" w:themeColor="accent1"/>
          <w:szCs w:val="22"/>
        </w:rPr>
        <w:t>Process</w:t>
      </w:r>
    </w:p>
    <w:p w14:paraId="3CB1DD31" w14:textId="6B0653F5" w:rsidR="00A3684F" w:rsidRPr="00844C5B" w:rsidRDefault="00A3684F" w:rsidP="00844C5B">
      <w:pPr>
        <w:pStyle w:val="ListParagraph"/>
        <w:numPr>
          <w:ilvl w:val="0"/>
          <w:numId w:val="2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>
        <w:rPr>
          <w:color w:val="1F2555" w:themeColor="accent1"/>
        </w:rPr>
        <w:t>Document the project vision</w:t>
      </w:r>
      <w:r w:rsidR="00303C80">
        <w:rPr>
          <w:color w:val="1F2555" w:themeColor="accent1"/>
        </w:rPr>
        <w:t>, high-level timeline</w:t>
      </w:r>
      <w:r w:rsidR="00BF54B4">
        <w:rPr>
          <w:color w:val="1F2555" w:themeColor="accent1"/>
        </w:rPr>
        <w:t xml:space="preserve">, </w:t>
      </w:r>
      <w:r w:rsidR="000928B0">
        <w:rPr>
          <w:color w:val="1F2555" w:themeColor="accent1"/>
        </w:rPr>
        <w:t xml:space="preserve">and agree </w:t>
      </w:r>
      <w:r w:rsidR="002D4AAF">
        <w:rPr>
          <w:color w:val="1F2555" w:themeColor="accent1"/>
        </w:rPr>
        <w:t xml:space="preserve">a detailed </w:t>
      </w:r>
      <w:r w:rsidR="000928B0">
        <w:rPr>
          <w:color w:val="1F2555" w:themeColor="accent1"/>
        </w:rPr>
        <w:t>schedule for the rest of the Prepare phase</w:t>
      </w:r>
      <w:r w:rsidR="002D4AAF">
        <w:rPr>
          <w:color w:val="1F2555" w:themeColor="accent1"/>
        </w:rPr>
        <w:t>.</w:t>
      </w:r>
    </w:p>
    <w:p w14:paraId="48DBF66B" w14:textId="04CD0DD1" w:rsidR="00A3684F" w:rsidRPr="00A511F1" w:rsidRDefault="000928B0" w:rsidP="00AA4BC3">
      <w:pPr>
        <w:pStyle w:val="ListParagraph"/>
        <w:numPr>
          <w:ilvl w:val="0"/>
          <w:numId w:val="2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>Review</w:t>
      </w:r>
      <w:r w:rsidRPr="00844C5B">
        <w:rPr>
          <w:color w:val="1F2555" w:themeColor="accent1"/>
        </w:rPr>
        <w:t xml:space="preserve"> </w:t>
      </w:r>
      <w:r w:rsidR="002D4AAF">
        <w:rPr>
          <w:color w:val="1F2555" w:themeColor="accent1"/>
        </w:rPr>
        <w:t>the</w:t>
      </w:r>
      <w:r w:rsidR="00A3684F" w:rsidRPr="00844C5B">
        <w:rPr>
          <w:color w:val="1F2555" w:themeColor="accent1"/>
        </w:rPr>
        <w:t xml:space="preserve"> </w:t>
      </w:r>
      <w:hyperlink r:id="rId13" w:history="1">
        <w:r w:rsidR="00A3684F" w:rsidRPr="00841F62">
          <w:rPr>
            <w:rStyle w:val="Hyperlink"/>
            <w:color w:val="00A6A7"/>
          </w:rPr>
          <w:t>Case Type Backlog</w:t>
        </w:r>
      </w:hyperlink>
      <w:r w:rsidR="00A3684F" w:rsidRPr="00243DA4">
        <w:t xml:space="preserve"> </w:t>
      </w:r>
      <w:r w:rsidR="00A3684F" w:rsidRPr="00844C5B">
        <w:rPr>
          <w:color w:val="1F2555" w:themeColor="accent1"/>
        </w:rPr>
        <w:t>and Day 1 Live Plan to identify and size the first Minimum Lovable Product (MLP) release.</w:t>
      </w:r>
      <w:r w:rsidR="008D5A9C">
        <w:rPr>
          <w:color w:val="1F2555" w:themeColor="accent1"/>
        </w:rPr>
        <w:t xml:space="preserve"> This will ensure a</w:t>
      </w:r>
      <w:r w:rsidR="008D5A9C" w:rsidRPr="008D5A9C">
        <w:rPr>
          <w:color w:val="1F2555" w:themeColor="accent1"/>
        </w:rPr>
        <w:t>ll user journeys, personas</w:t>
      </w:r>
      <w:r w:rsidR="008D5A9C">
        <w:rPr>
          <w:color w:val="1F2555" w:themeColor="accent1"/>
        </w:rPr>
        <w:t>, channels</w:t>
      </w:r>
      <w:r w:rsidR="008D5A9C" w:rsidRPr="008D5A9C">
        <w:rPr>
          <w:color w:val="1F2555" w:themeColor="accent1"/>
        </w:rPr>
        <w:t xml:space="preserve"> and interfaces have been defined</w:t>
      </w:r>
      <w:r w:rsidR="008D5A9C">
        <w:rPr>
          <w:color w:val="1F2555" w:themeColor="accent1"/>
        </w:rPr>
        <w:t>.</w:t>
      </w:r>
    </w:p>
    <w:p w14:paraId="39893BFE" w14:textId="5864DA51" w:rsidR="00A3684F" w:rsidRPr="00844C5B" w:rsidRDefault="00A3684F" w:rsidP="00844C5B">
      <w:pPr>
        <w:pStyle w:val="ListParagraph"/>
        <w:numPr>
          <w:ilvl w:val="0"/>
          <w:numId w:val="2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>
        <w:rPr>
          <w:color w:val="1F2555" w:themeColor="accent1"/>
        </w:rPr>
        <w:t>Collect samples of existing business processes (screenshots, flows, emails, etc.)</w:t>
      </w:r>
      <w:r w:rsidR="002D4AAF">
        <w:rPr>
          <w:color w:val="1F2555" w:themeColor="accent1"/>
        </w:rPr>
        <w:t>, outputs of work,</w:t>
      </w:r>
      <w:r w:rsidR="00210D0F">
        <w:rPr>
          <w:color w:val="1F2555" w:themeColor="accent1"/>
        </w:rPr>
        <w:t xml:space="preserve"> and any</w:t>
      </w:r>
      <w:r w:rsidR="002D4AAF">
        <w:rPr>
          <w:color w:val="1F2555" w:themeColor="accent1"/>
        </w:rPr>
        <w:t xml:space="preserve"> planned</w:t>
      </w:r>
      <w:r w:rsidR="00210D0F">
        <w:rPr>
          <w:color w:val="1F2555" w:themeColor="accent1"/>
        </w:rPr>
        <w:t xml:space="preserve"> to-be processes</w:t>
      </w:r>
      <w:r w:rsidR="00BC335D">
        <w:rPr>
          <w:color w:val="1F2555" w:themeColor="accent1"/>
        </w:rPr>
        <w:t xml:space="preserve"> to </w:t>
      </w:r>
      <w:r w:rsidR="00634E03">
        <w:rPr>
          <w:color w:val="1F2555" w:themeColor="accent1"/>
        </w:rPr>
        <w:t>provide context for what is being replaced and the data involved.</w:t>
      </w:r>
    </w:p>
    <w:p w14:paraId="60CF3FEF" w14:textId="264EA214" w:rsidR="00A3684F" w:rsidRPr="00844C5B" w:rsidRDefault="00A3684F" w:rsidP="00844C5B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>
        <w:rPr>
          <w:color w:val="1F2555" w:themeColor="accent1"/>
        </w:rPr>
        <w:t xml:space="preserve">Schedule </w:t>
      </w:r>
      <w:r w:rsidR="00002903">
        <w:rPr>
          <w:color w:val="1F2555" w:themeColor="accent1"/>
        </w:rPr>
        <w:t>Vision Alignment workshop</w:t>
      </w:r>
      <w:r w:rsidRPr="00844C5B">
        <w:rPr>
          <w:color w:val="1F2555" w:themeColor="accent1"/>
        </w:rPr>
        <w:t xml:space="preserve"> with all resources (internal, partner, Pega)</w:t>
      </w:r>
      <w:r w:rsidR="00002903">
        <w:rPr>
          <w:color w:val="1F2555" w:themeColor="accent1"/>
        </w:rPr>
        <w:t xml:space="preserve"> to start the project.</w:t>
      </w:r>
    </w:p>
    <w:p w14:paraId="09D4AAAA" w14:textId="7ED19977" w:rsidR="00A3684F" w:rsidRPr="00844C5B" w:rsidRDefault="002D4AAF" w:rsidP="00844C5B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>Start e</w:t>
      </w:r>
      <w:r w:rsidR="00210D0F">
        <w:rPr>
          <w:color w:val="1F2555" w:themeColor="accent1"/>
        </w:rPr>
        <w:t>stablish</w:t>
      </w:r>
      <w:r>
        <w:rPr>
          <w:color w:val="1F2555" w:themeColor="accent1"/>
        </w:rPr>
        <w:t xml:space="preserve">ing </w:t>
      </w:r>
      <w:r w:rsidR="00210D0F">
        <w:rPr>
          <w:color w:val="1F2555" w:themeColor="accent1"/>
        </w:rPr>
        <w:t>effective governance</w:t>
      </w:r>
      <w:r>
        <w:rPr>
          <w:color w:val="1F2555" w:themeColor="accent1"/>
        </w:rPr>
        <w:t xml:space="preserve"> by s</w:t>
      </w:r>
      <w:r w:rsidR="00A3684F" w:rsidRPr="00844C5B">
        <w:rPr>
          <w:color w:val="1F2555" w:themeColor="accent1"/>
        </w:rPr>
        <w:t>chedul</w:t>
      </w:r>
      <w:r>
        <w:rPr>
          <w:color w:val="1F2555" w:themeColor="accent1"/>
        </w:rPr>
        <w:t>ing</w:t>
      </w:r>
      <w:r w:rsidR="00A3684F" w:rsidRPr="00844C5B">
        <w:rPr>
          <w:color w:val="1F2555" w:themeColor="accent1"/>
        </w:rPr>
        <w:t xml:space="preserve"> the first round of governance meetings and secur</w:t>
      </w:r>
      <w:r>
        <w:rPr>
          <w:color w:val="1F2555" w:themeColor="accent1"/>
        </w:rPr>
        <w:t>ing</w:t>
      </w:r>
      <w:r w:rsidR="00A3684F" w:rsidRPr="00844C5B">
        <w:rPr>
          <w:color w:val="1F2555" w:themeColor="accent1"/>
        </w:rPr>
        <w:t xml:space="preserve"> buy</w:t>
      </w:r>
      <w:r w:rsidR="009D6286">
        <w:rPr>
          <w:color w:val="1F2555" w:themeColor="accent1"/>
        </w:rPr>
        <w:noBreakHyphen/>
      </w:r>
      <w:r w:rsidR="00A3684F" w:rsidRPr="00844C5B">
        <w:rPr>
          <w:color w:val="1F2555" w:themeColor="accent1"/>
        </w:rPr>
        <w:t>in for active participation.</w:t>
      </w:r>
      <w:r w:rsidR="009D6286">
        <w:rPr>
          <w:color w:val="1F2555" w:themeColor="accent1"/>
        </w:rPr>
        <w:t xml:space="preserve"> This will include agreeing the cadence of project </w:t>
      </w:r>
      <w:r w:rsidR="009D6286">
        <w:rPr>
          <w:color w:val="1F2555" w:themeColor="accent1"/>
        </w:rPr>
        <w:lastRenderedPageBreak/>
        <w:t>reporting, scope</w:t>
      </w:r>
      <w:r w:rsidR="00A67E11">
        <w:rPr>
          <w:color w:val="1F2555" w:themeColor="accent1"/>
        </w:rPr>
        <w:t xml:space="preserve"> </w:t>
      </w:r>
      <w:r w:rsidR="009D6286">
        <w:rPr>
          <w:color w:val="1F2555" w:themeColor="accent1"/>
        </w:rPr>
        <w:t>governance and dependency meetings (e.g. weekly), project governance (e.g. fortnightly)</w:t>
      </w:r>
      <w:r w:rsidR="00A67E11">
        <w:rPr>
          <w:color w:val="1F2555" w:themeColor="accent1"/>
        </w:rPr>
        <w:t>,</w:t>
      </w:r>
      <w:r w:rsidR="009D6286">
        <w:rPr>
          <w:color w:val="1F2555" w:themeColor="accent1"/>
        </w:rPr>
        <w:t xml:space="preserve"> and executive governance (e.g. monthly)</w:t>
      </w:r>
      <w:r w:rsidR="002147C1">
        <w:rPr>
          <w:color w:val="1F2555" w:themeColor="accent1"/>
        </w:rPr>
        <w:t>.</w:t>
      </w:r>
    </w:p>
    <w:p w14:paraId="3EA3F262" w14:textId="77777777" w:rsidR="00A3684F" w:rsidRDefault="00A3684F" w:rsidP="00844C5B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>
        <w:rPr>
          <w:color w:val="1F2555" w:themeColor="accent1"/>
        </w:rPr>
        <w:t>Define and commit to a process for handling change control.</w:t>
      </w:r>
    </w:p>
    <w:p w14:paraId="32965D0A" w14:textId="2BF4F250" w:rsidR="002147C1" w:rsidRPr="00844C5B" w:rsidRDefault="002147C1" w:rsidP="00844C5B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 xml:space="preserve">Create an initial program / project communication plan so that all stakeholders can remain regularly informed of progress and can appropriately prepare for </w:t>
      </w:r>
      <w:r w:rsidR="00A67E11">
        <w:rPr>
          <w:color w:val="1F2555" w:themeColor="accent1"/>
        </w:rPr>
        <w:t>go live.</w:t>
      </w:r>
    </w:p>
    <w:p w14:paraId="4D7C0E64" w14:textId="4E8C8FDA" w:rsidR="00A3684F" w:rsidRDefault="00A3684F" w:rsidP="00844C5B">
      <w:pPr>
        <w:pStyle w:val="ListParagraph"/>
        <w:numPr>
          <w:ilvl w:val="0"/>
          <w:numId w:val="1"/>
        </w:numPr>
        <w:spacing w:after="120" w:line="240" w:lineRule="auto"/>
        <w:ind w:left="-216"/>
        <w:contextualSpacing w:val="0"/>
      </w:pPr>
      <w:bookmarkStart w:id="0" w:name="_Hlk7512565"/>
      <w:r w:rsidRPr="00844C5B">
        <w:rPr>
          <w:color w:val="1F2555" w:themeColor="accent1"/>
        </w:rPr>
        <w:t xml:space="preserve">Complete a </w:t>
      </w:r>
      <w:hyperlink r:id="rId14" w:history="1">
        <w:r w:rsidRPr="00A3684F">
          <w:rPr>
            <w:rStyle w:val="Hyperlink"/>
            <w:color w:val="00A6A7"/>
          </w:rPr>
          <w:t>Delivery Excellence Workshop</w:t>
        </w:r>
      </w:hyperlink>
      <w:r w:rsidRPr="00243DA4">
        <w:t xml:space="preserve"> </w:t>
      </w:r>
      <w:r w:rsidRPr="00844C5B">
        <w:rPr>
          <w:color w:val="1F2555" w:themeColor="accent1"/>
        </w:rPr>
        <w:t>with the internal team to understand</w:t>
      </w:r>
      <w:r w:rsidR="00E5051E">
        <w:rPr>
          <w:color w:val="1F2555" w:themeColor="accent1"/>
        </w:rPr>
        <w:t xml:space="preserve"> the</w:t>
      </w:r>
      <w:r w:rsidRPr="00243DA4">
        <w:t xml:space="preserve"> </w:t>
      </w:r>
      <w:hyperlink r:id="rId15" w:history="1">
        <w:r w:rsidR="00E5051E" w:rsidRPr="00E5051E">
          <w:rPr>
            <w:rStyle w:val="Hyperlink"/>
            <w:color w:val="00A6A7"/>
          </w:rPr>
          <w:t>Pega Express</w:t>
        </w:r>
      </w:hyperlink>
      <w:r w:rsidR="00E5051E">
        <w:t xml:space="preserve"> methodology </w:t>
      </w:r>
      <w:r w:rsidR="00C50114">
        <w:rPr>
          <w:color w:val="1F2555" w:themeColor="accent1"/>
        </w:rPr>
        <w:t>and how it will be applied. This will increase initial design and build velocity.</w:t>
      </w:r>
    </w:p>
    <w:bookmarkEnd w:id="0"/>
    <w:p w14:paraId="2B40F04A" w14:textId="77777777" w:rsidR="003459A7" w:rsidRPr="003459A7" w:rsidRDefault="003459A7" w:rsidP="003459A7">
      <w:pPr>
        <w:pStyle w:val="ListParagraph"/>
        <w:spacing w:after="120" w:line="240" w:lineRule="auto"/>
        <w:ind w:left="-216"/>
        <w:contextualSpacing w:val="0"/>
        <w:rPr>
          <w:sz w:val="8"/>
        </w:rPr>
      </w:pPr>
    </w:p>
    <w:p w14:paraId="754F182D" w14:textId="77777777" w:rsidR="00A3684F" w:rsidRPr="00844C5B" w:rsidRDefault="00A3684F" w:rsidP="00844C5B">
      <w:pPr>
        <w:spacing w:before="120" w:after="120" w:line="260" w:lineRule="exact"/>
        <w:ind w:left="-576"/>
        <w:rPr>
          <w:b/>
          <w:color w:val="1F2555" w:themeColor="accent1"/>
          <w:szCs w:val="22"/>
        </w:rPr>
      </w:pPr>
      <w:r w:rsidRPr="00844C5B">
        <w:rPr>
          <w:b/>
          <w:color w:val="1F2555" w:themeColor="accent1"/>
          <w:szCs w:val="22"/>
        </w:rPr>
        <w:t>Technology</w:t>
      </w:r>
    </w:p>
    <w:p w14:paraId="25BDF360" w14:textId="77777777" w:rsidR="003B3C1B" w:rsidRDefault="003B3C1B" w:rsidP="003B3C1B">
      <w:pPr>
        <w:pStyle w:val="ListParagraph"/>
        <w:numPr>
          <w:ilvl w:val="0"/>
          <w:numId w:val="3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>
        <w:rPr>
          <w:color w:val="1F2555" w:themeColor="accent1"/>
        </w:rPr>
        <w:t xml:space="preserve">Confirm hosting strategy (Pega Cloud, private cloud, on-premise) and required environments. If </w:t>
      </w:r>
      <w:r>
        <w:rPr>
          <w:color w:val="1F2555" w:themeColor="accent1"/>
        </w:rPr>
        <w:t>o</w:t>
      </w:r>
      <w:r w:rsidRPr="00844C5B">
        <w:rPr>
          <w:color w:val="1F2555" w:themeColor="accent1"/>
        </w:rPr>
        <w:t>n</w:t>
      </w:r>
      <w:r>
        <w:rPr>
          <w:color w:val="1F2555" w:themeColor="accent1"/>
        </w:rPr>
        <w:t>-p</w:t>
      </w:r>
      <w:r w:rsidRPr="00844C5B">
        <w:rPr>
          <w:color w:val="1F2555" w:themeColor="accent1"/>
        </w:rPr>
        <w:t>remise</w:t>
      </w:r>
      <w:r>
        <w:rPr>
          <w:color w:val="1F2555" w:themeColor="accent1"/>
        </w:rPr>
        <w:t>,</w:t>
      </w:r>
      <w:r w:rsidRPr="00844C5B">
        <w:rPr>
          <w:color w:val="1F2555" w:themeColor="accent1"/>
        </w:rPr>
        <w:t xml:space="preserve"> </w:t>
      </w:r>
      <w:r>
        <w:rPr>
          <w:color w:val="1F2555" w:themeColor="accent1"/>
        </w:rPr>
        <w:t>d</w:t>
      </w:r>
      <w:r w:rsidRPr="00844C5B">
        <w:rPr>
          <w:color w:val="1F2555" w:themeColor="accent1"/>
        </w:rPr>
        <w:t>etermine hardware/software purchase lead time and reflect in the project timeline.</w:t>
      </w:r>
    </w:p>
    <w:p w14:paraId="6CA8992B" w14:textId="49F95AB3" w:rsidR="003B3C1B" w:rsidRPr="00844C5B" w:rsidDel="00A67E11" w:rsidRDefault="003B3C1B" w:rsidP="003B3C1B">
      <w:pPr>
        <w:pStyle w:val="ListParagraph"/>
        <w:numPr>
          <w:ilvl w:val="0"/>
          <w:numId w:val="3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 w:rsidDel="00A67E11">
        <w:rPr>
          <w:color w:val="1F2555" w:themeColor="accent1"/>
        </w:rPr>
        <w:t>Identify data migration needs an</w:t>
      </w:r>
      <w:r>
        <w:rPr>
          <w:color w:val="1F2555" w:themeColor="accent1"/>
        </w:rPr>
        <w:t>d any data cleansing needs.</w:t>
      </w:r>
    </w:p>
    <w:p w14:paraId="765F799E" w14:textId="77777777" w:rsidR="00A3684F" w:rsidRPr="00844C5B" w:rsidRDefault="00A3684F" w:rsidP="00844C5B">
      <w:pPr>
        <w:pStyle w:val="ListParagraph"/>
        <w:numPr>
          <w:ilvl w:val="0"/>
          <w:numId w:val="3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>
        <w:rPr>
          <w:color w:val="1F2555" w:themeColor="accent1"/>
        </w:rPr>
        <w:t xml:space="preserve">Identify </w:t>
      </w:r>
      <w:r w:rsidR="008D5A9C">
        <w:rPr>
          <w:color w:val="1F2555" w:themeColor="accent1"/>
        </w:rPr>
        <w:t xml:space="preserve">data sources, </w:t>
      </w:r>
      <w:r w:rsidR="00A67E11">
        <w:rPr>
          <w:color w:val="1F2555" w:themeColor="accent1"/>
        </w:rPr>
        <w:t xml:space="preserve">determine </w:t>
      </w:r>
      <w:r w:rsidRPr="00844C5B">
        <w:rPr>
          <w:color w:val="1F2555" w:themeColor="accent1"/>
        </w:rPr>
        <w:t>data services</w:t>
      </w:r>
      <w:r w:rsidR="00A67E11">
        <w:rPr>
          <w:color w:val="1F2555" w:themeColor="accent1"/>
        </w:rPr>
        <w:t>,</w:t>
      </w:r>
      <w:r w:rsidRPr="00844C5B">
        <w:rPr>
          <w:color w:val="1F2555" w:themeColor="accent1"/>
        </w:rPr>
        <w:t xml:space="preserve"> and obtain APIs for existing and new interfaces.</w:t>
      </w:r>
    </w:p>
    <w:p w14:paraId="1EC8B02D" w14:textId="4A5CA714" w:rsidR="00A3684F" w:rsidRDefault="00A3684F" w:rsidP="00844C5B">
      <w:pPr>
        <w:pStyle w:val="ListParagraph"/>
        <w:numPr>
          <w:ilvl w:val="0"/>
          <w:numId w:val="3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844C5B">
        <w:rPr>
          <w:color w:val="1F2555" w:themeColor="accent1"/>
        </w:rPr>
        <w:t>Obtain provisional dates for any interface delivery</w:t>
      </w:r>
      <w:r w:rsidR="003B3C1B">
        <w:rPr>
          <w:color w:val="1F2555" w:themeColor="accent1"/>
        </w:rPr>
        <w:t xml:space="preserve"> and their owners.</w:t>
      </w:r>
    </w:p>
    <w:p w14:paraId="0B4F48E9" w14:textId="50A6438D" w:rsidR="00A3684F" w:rsidRPr="00844C5B" w:rsidRDefault="003B3C1B" w:rsidP="00844C5B">
      <w:pPr>
        <w:pStyle w:val="ListParagraph"/>
        <w:numPr>
          <w:ilvl w:val="0"/>
          <w:numId w:val="3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 xml:space="preserve">Agree </w:t>
      </w:r>
      <w:r w:rsidR="00F17E0B">
        <w:rPr>
          <w:color w:val="1F2555" w:themeColor="accent1"/>
        </w:rPr>
        <w:t xml:space="preserve">an initial test </w:t>
      </w:r>
      <w:r>
        <w:rPr>
          <w:color w:val="1F2555" w:themeColor="accent1"/>
        </w:rPr>
        <w:t>approach, typically this will be to use ite</w:t>
      </w:r>
      <w:bookmarkStart w:id="1" w:name="_GoBack"/>
      <w:bookmarkEnd w:id="1"/>
      <w:r>
        <w:rPr>
          <w:color w:val="1F2555" w:themeColor="accent1"/>
        </w:rPr>
        <w:t>rative j</w:t>
      </w:r>
      <w:r w:rsidR="00F17E0B">
        <w:rPr>
          <w:color w:val="1F2555" w:themeColor="accent1"/>
        </w:rPr>
        <w:t xml:space="preserve">ourney centric </w:t>
      </w:r>
      <w:r>
        <w:rPr>
          <w:color w:val="1F2555" w:themeColor="accent1"/>
        </w:rPr>
        <w:t>testing.</w:t>
      </w:r>
    </w:p>
    <w:p w14:paraId="2EC35EBA" w14:textId="26D35791" w:rsidR="00F33B93" w:rsidRDefault="00F33B93" w:rsidP="00F33B93">
      <w:pPr>
        <w:pStyle w:val="ListParagraph"/>
        <w:numPr>
          <w:ilvl w:val="0"/>
          <w:numId w:val="3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 xml:space="preserve">Create a technical dependency schedule that includes interfaces, infrastructure, migration. This will determine which dependencies require a long lead time and should be </w:t>
      </w:r>
      <w:r w:rsidR="00A67E11">
        <w:rPr>
          <w:color w:val="1F2555" w:themeColor="accent1"/>
        </w:rPr>
        <w:t>prioritized.</w:t>
      </w:r>
    </w:p>
    <w:p w14:paraId="1815D91E" w14:textId="2893FFA8" w:rsidR="004D6065" w:rsidRDefault="004D6065" w:rsidP="00F33B93">
      <w:pPr>
        <w:pStyle w:val="ListParagraph"/>
        <w:numPr>
          <w:ilvl w:val="0"/>
          <w:numId w:val="3"/>
        </w:numPr>
        <w:spacing w:after="120" w:line="240" w:lineRule="auto"/>
        <w:ind w:left="-216"/>
        <w:contextualSpacing w:val="0"/>
        <w:rPr>
          <w:color w:val="1F2555" w:themeColor="accent1"/>
        </w:rPr>
      </w:pPr>
      <w:r>
        <w:rPr>
          <w:color w:val="1F2555" w:themeColor="accent1"/>
        </w:rPr>
        <w:t xml:space="preserve">Confirm </w:t>
      </w:r>
      <w:r w:rsidR="00D841B9">
        <w:rPr>
          <w:color w:val="1F2555" w:themeColor="accent1"/>
        </w:rPr>
        <w:t xml:space="preserve">document sharing and </w:t>
      </w:r>
      <w:r>
        <w:rPr>
          <w:color w:val="1F2555" w:themeColor="accent1"/>
        </w:rPr>
        <w:t>project management tools (e.g. Pega Agile Studio). Identify who will procure and ‘own’ the tools</w:t>
      </w:r>
      <w:r w:rsidR="00A67E11">
        <w:rPr>
          <w:color w:val="1F2555" w:themeColor="accent1"/>
        </w:rPr>
        <w:t>.</w:t>
      </w:r>
      <w:r w:rsidR="00E5051E">
        <w:rPr>
          <w:color w:val="1F2555" w:themeColor="accent1"/>
        </w:rPr>
        <w:t xml:space="preserve"> If you are going to use Agile Studio, make sure you specifically request for this to be provisioned by the Pega team</w:t>
      </w:r>
    </w:p>
    <w:p w14:paraId="19371BAF" w14:textId="6F56AB06" w:rsidR="00F33B93" w:rsidRPr="00A73079" w:rsidRDefault="004D6065" w:rsidP="00A73079">
      <w:pPr>
        <w:pStyle w:val="ListParagraph"/>
        <w:numPr>
          <w:ilvl w:val="0"/>
          <w:numId w:val="3"/>
        </w:numPr>
        <w:spacing w:after="120" w:line="240" w:lineRule="auto"/>
        <w:ind w:left="-216"/>
        <w:contextualSpacing w:val="0"/>
        <w:rPr>
          <w:color w:val="1F2555" w:themeColor="accent1"/>
        </w:rPr>
      </w:pPr>
      <w:r w:rsidRPr="00A73079">
        <w:rPr>
          <w:color w:val="1F2555" w:themeColor="accent1"/>
        </w:rPr>
        <w:t xml:space="preserve">Confirm </w:t>
      </w:r>
      <w:r w:rsidR="003B3C1B">
        <w:rPr>
          <w:color w:val="1F2555" w:themeColor="accent1"/>
        </w:rPr>
        <w:t xml:space="preserve">use of </w:t>
      </w:r>
      <w:r w:rsidRPr="00A73079">
        <w:rPr>
          <w:color w:val="1F2555" w:themeColor="accent1"/>
        </w:rPr>
        <w:t>Continuous Integration / Continuous Delivery (</w:t>
      </w:r>
      <w:hyperlink r:id="rId16" w:history="1">
        <w:r w:rsidRPr="00AB1F1D">
          <w:rPr>
            <w:rStyle w:val="Hyperlink"/>
            <w:color w:val="00A6A7"/>
          </w:rPr>
          <w:t>CI/CD</w:t>
        </w:r>
      </w:hyperlink>
      <w:r w:rsidRPr="00A73079">
        <w:rPr>
          <w:color w:val="1F2555" w:themeColor="accent1"/>
        </w:rPr>
        <w:t>) tools</w:t>
      </w:r>
      <w:r w:rsidR="00310C30">
        <w:rPr>
          <w:color w:val="1F2555" w:themeColor="accent1"/>
        </w:rPr>
        <w:t xml:space="preserve"> </w:t>
      </w:r>
      <w:r w:rsidR="00A73079">
        <w:rPr>
          <w:color w:val="1F2555" w:themeColor="accent1"/>
        </w:rPr>
        <w:t xml:space="preserve">to </w:t>
      </w:r>
      <w:r w:rsidR="00A73079" w:rsidRPr="004D6065">
        <w:rPr>
          <w:color w:val="1F2555" w:themeColor="accent1"/>
        </w:rPr>
        <w:t xml:space="preserve">automate steps in </w:t>
      </w:r>
      <w:r w:rsidR="00A73079">
        <w:rPr>
          <w:color w:val="1F2555" w:themeColor="accent1"/>
        </w:rPr>
        <w:t xml:space="preserve">the </w:t>
      </w:r>
      <w:r w:rsidR="00A73079" w:rsidRPr="004D6065">
        <w:rPr>
          <w:color w:val="1F2555" w:themeColor="accent1"/>
        </w:rPr>
        <w:t>software delivery process</w:t>
      </w:r>
      <w:r w:rsidR="003B3C1B">
        <w:rPr>
          <w:color w:val="1F2555" w:themeColor="accent1"/>
        </w:rPr>
        <w:t>.</w:t>
      </w:r>
      <w:r w:rsidR="00E5051E">
        <w:rPr>
          <w:color w:val="1F2555" w:themeColor="accent1"/>
        </w:rPr>
        <w:t xml:space="preserve"> If you are going to use the Pega Deployment Manager, make sure you specifically request for this to be provisioned by the Pega team</w:t>
      </w:r>
    </w:p>
    <w:sectPr w:rsidR="00F33B93" w:rsidRPr="00A73079" w:rsidSect="00D150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592" w:right="1080" w:bottom="108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E0F7" w14:textId="77777777" w:rsidR="00D806F9" w:rsidRDefault="00D806F9" w:rsidP="008D3F13">
      <w:r>
        <w:separator/>
      </w:r>
    </w:p>
  </w:endnote>
  <w:endnote w:type="continuationSeparator" w:id="0">
    <w:p w14:paraId="63ECFBD7" w14:textId="77777777" w:rsidR="00D806F9" w:rsidRDefault="00D806F9" w:rsidP="008D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altName w:val="Calibri"/>
    <w:charset w:val="00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2AFB" w14:textId="77777777" w:rsidR="00856D65" w:rsidRDefault="00856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672A" w14:textId="77777777" w:rsidR="00856D65" w:rsidRDefault="00856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C7DA" w14:textId="77777777" w:rsidR="00856D65" w:rsidRDefault="0085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AB432" w14:textId="77777777" w:rsidR="00D806F9" w:rsidRDefault="00D806F9" w:rsidP="008D3F13">
      <w:r>
        <w:separator/>
      </w:r>
    </w:p>
  </w:footnote>
  <w:footnote w:type="continuationSeparator" w:id="0">
    <w:p w14:paraId="17E40C00" w14:textId="77777777" w:rsidR="00D806F9" w:rsidRDefault="00D806F9" w:rsidP="008D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6F32" w14:textId="77777777" w:rsidR="00856D65" w:rsidRDefault="00856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95AC" w14:textId="77777777" w:rsidR="008D3F13" w:rsidRDefault="00A317C2" w:rsidP="008D3F13">
    <w:pPr>
      <w:pStyle w:val="Header"/>
      <w:ind w:left="-900"/>
    </w:pPr>
    <w:r w:rsidRPr="00A317C2">
      <w:rPr>
        <w:rFonts w:ascii="Effra Light" w:eastAsia="MS Mincho" w:hAnsi="Effra Light" w:cs="Times New Roman"/>
        <w:noProof/>
        <w:color w:val="00A6A7"/>
        <w:sz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1C309D" wp14:editId="2081BB5F">
              <wp:simplePos x="0" y="0"/>
              <wp:positionH relativeFrom="column">
                <wp:posOffset>-457200</wp:posOffset>
              </wp:positionH>
              <wp:positionV relativeFrom="paragraph">
                <wp:posOffset>14605</wp:posOffset>
              </wp:positionV>
              <wp:extent cx="5442585" cy="1316736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2585" cy="13167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765C8" w14:textId="77777777" w:rsidR="00A317C2" w:rsidRPr="008D3F13" w:rsidRDefault="00A3684F" w:rsidP="00A317C2">
                          <w:pPr>
                            <w:rPr>
                              <w:rFonts w:ascii="Open Sans" w:hAnsi="Open Sans" w:cs="Open Sans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Project Readiness </w:t>
                          </w:r>
                          <w:r w:rsidR="00856D65">
                            <w:rPr>
                              <w:rFonts w:ascii="Open Sans" w:hAnsi="Open Sans" w:cs="Open Sans"/>
                              <w:b/>
                              <w:color w:val="FFFFFF"/>
                              <w:sz w:val="40"/>
                              <w:szCs w:val="40"/>
                            </w:rPr>
                            <w:t>Checklist</w:t>
                          </w:r>
                        </w:p>
                        <w:p w14:paraId="030882AD" w14:textId="77777777" w:rsidR="00A317C2" w:rsidRPr="008D3F13" w:rsidRDefault="00A317C2" w:rsidP="00A317C2">
                          <w:pPr>
                            <w:rPr>
                              <w:rFonts w:ascii="Open Sans" w:hAnsi="Open Sans" w:cs="Open Sans"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C3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1.15pt;width:428.55pt;height:10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" filled="f" stroked="f">
              <v:textbox>
                <w:txbxContent>
                  <w:p w14:paraId="59F765C8" w14:textId="77777777" w:rsidR="00A317C2" w:rsidRPr="008D3F13" w:rsidRDefault="00A3684F" w:rsidP="00A317C2">
                    <w:pPr>
                      <w:rPr>
                        <w:rFonts w:ascii="Open Sans" w:hAnsi="Open Sans" w:cs="Open Sans"/>
                        <w:b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FFFFFF"/>
                        <w:sz w:val="40"/>
                        <w:szCs w:val="40"/>
                      </w:rPr>
                      <w:t xml:space="preserve">Project Readiness </w:t>
                    </w:r>
                    <w:r w:rsidR="00856D65">
                      <w:rPr>
                        <w:rFonts w:ascii="Open Sans" w:hAnsi="Open Sans" w:cs="Open Sans"/>
                        <w:b/>
                        <w:color w:val="FFFFFF"/>
                        <w:sz w:val="40"/>
                        <w:szCs w:val="40"/>
                      </w:rPr>
                      <w:t>Checklist</w:t>
                    </w:r>
                  </w:p>
                  <w:p w14:paraId="030882AD" w14:textId="77777777" w:rsidR="00A317C2" w:rsidRPr="008D3F13" w:rsidRDefault="00A317C2" w:rsidP="00A317C2">
                    <w:pPr>
                      <w:rPr>
                        <w:rFonts w:ascii="Open Sans" w:hAnsi="Open Sans" w:cs="Open Sans"/>
                        <w:color w:val="FFFFFF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ffra Light" w:eastAsia="MS Mincho" w:hAnsi="Effra Light" w:cs="Times New Roman"/>
        <w:noProof/>
        <w:color w:val="00A6A7"/>
        <w:sz w:val="72"/>
      </w:rPr>
      <w:drawing>
        <wp:inline distT="0" distB="0" distL="0" distR="0" wp14:anchorId="2BFDF82A" wp14:editId="49263621">
          <wp:extent cx="7096516" cy="1081482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banner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50" cy="114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1162" w14:textId="77777777" w:rsidR="00856D65" w:rsidRDefault="0085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B9C"/>
    <w:multiLevelType w:val="hybridMultilevel"/>
    <w:tmpl w:val="A2B8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63C0F"/>
    <w:multiLevelType w:val="hybridMultilevel"/>
    <w:tmpl w:val="83B66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704AEA"/>
    <w:multiLevelType w:val="hybridMultilevel"/>
    <w:tmpl w:val="67386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67FA0"/>
    <w:multiLevelType w:val="hybridMultilevel"/>
    <w:tmpl w:val="FDB0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4F"/>
    <w:rsid w:val="00002903"/>
    <w:rsid w:val="0007598C"/>
    <w:rsid w:val="00084276"/>
    <w:rsid w:val="000879FB"/>
    <w:rsid w:val="000928B0"/>
    <w:rsid w:val="00096B10"/>
    <w:rsid w:val="000A16D5"/>
    <w:rsid w:val="000B5E2B"/>
    <w:rsid w:val="000C7285"/>
    <w:rsid w:val="000E2104"/>
    <w:rsid w:val="000F46A8"/>
    <w:rsid w:val="00121E18"/>
    <w:rsid w:val="001E4EA8"/>
    <w:rsid w:val="00210D0F"/>
    <w:rsid w:val="002147C1"/>
    <w:rsid w:val="002411B0"/>
    <w:rsid w:val="0028434E"/>
    <w:rsid w:val="002D4AAF"/>
    <w:rsid w:val="00303C80"/>
    <w:rsid w:val="003050A7"/>
    <w:rsid w:val="00310C30"/>
    <w:rsid w:val="003132F8"/>
    <w:rsid w:val="003310D0"/>
    <w:rsid w:val="003459A7"/>
    <w:rsid w:val="0038633D"/>
    <w:rsid w:val="003B3C1B"/>
    <w:rsid w:val="003E6C8C"/>
    <w:rsid w:val="004117A4"/>
    <w:rsid w:val="0043506E"/>
    <w:rsid w:val="004379B2"/>
    <w:rsid w:val="004544AA"/>
    <w:rsid w:val="0047741D"/>
    <w:rsid w:val="004C3335"/>
    <w:rsid w:val="004D6065"/>
    <w:rsid w:val="004F0B64"/>
    <w:rsid w:val="004F4E92"/>
    <w:rsid w:val="00504459"/>
    <w:rsid w:val="005540EB"/>
    <w:rsid w:val="00574CF9"/>
    <w:rsid w:val="005823CA"/>
    <w:rsid w:val="00634E03"/>
    <w:rsid w:val="00655D2B"/>
    <w:rsid w:val="006B4537"/>
    <w:rsid w:val="006D53EC"/>
    <w:rsid w:val="00703D00"/>
    <w:rsid w:val="00725249"/>
    <w:rsid w:val="007816E3"/>
    <w:rsid w:val="007C4275"/>
    <w:rsid w:val="007F0618"/>
    <w:rsid w:val="007F5F47"/>
    <w:rsid w:val="00805CB0"/>
    <w:rsid w:val="00844C5B"/>
    <w:rsid w:val="00856D65"/>
    <w:rsid w:val="008A6B65"/>
    <w:rsid w:val="008C6205"/>
    <w:rsid w:val="008D3F13"/>
    <w:rsid w:val="008D5A9C"/>
    <w:rsid w:val="00921C4F"/>
    <w:rsid w:val="00932C01"/>
    <w:rsid w:val="00937D97"/>
    <w:rsid w:val="009D6286"/>
    <w:rsid w:val="00A317C2"/>
    <w:rsid w:val="00A31E3C"/>
    <w:rsid w:val="00A3684F"/>
    <w:rsid w:val="00A511F1"/>
    <w:rsid w:val="00A61EE3"/>
    <w:rsid w:val="00A67E11"/>
    <w:rsid w:val="00A73079"/>
    <w:rsid w:val="00AA4BC3"/>
    <w:rsid w:val="00AB1F1D"/>
    <w:rsid w:val="00B06ED9"/>
    <w:rsid w:val="00B5001F"/>
    <w:rsid w:val="00B7300D"/>
    <w:rsid w:val="00B96318"/>
    <w:rsid w:val="00BC335D"/>
    <w:rsid w:val="00BC7C97"/>
    <w:rsid w:val="00BF54B4"/>
    <w:rsid w:val="00C4245B"/>
    <w:rsid w:val="00C50114"/>
    <w:rsid w:val="00C6394E"/>
    <w:rsid w:val="00C73E72"/>
    <w:rsid w:val="00C745B3"/>
    <w:rsid w:val="00CA10CF"/>
    <w:rsid w:val="00CF2009"/>
    <w:rsid w:val="00D15071"/>
    <w:rsid w:val="00D638B0"/>
    <w:rsid w:val="00D806F9"/>
    <w:rsid w:val="00D8195B"/>
    <w:rsid w:val="00D841B9"/>
    <w:rsid w:val="00D85332"/>
    <w:rsid w:val="00DD596D"/>
    <w:rsid w:val="00E14CCC"/>
    <w:rsid w:val="00E41DDE"/>
    <w:rsid w:val="00E5051E"/>
    <w:rsid w:val="00ED0E88"/>
    <w:rsid w:val="00F011DE"/>
    <w:rsid w:val="00F17E0B"/>
    <w:rsid w:val="00F33B93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BD97D"/>
  <w15:chartTrackingRefBased/>
  <w15:docId w15:val="{808DB8DE-0C4C-46C0-93F1-9C9C0A4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13"/>
  </w:style>
  <w:style w:type="paragraph" w:styleId="Footer">
    <w:name w:val="footer"/>
    <w:basedOn w:val="Normal"/>
    <w:link w:val="FooterChar"/>
    <w:uiPriority w:val="99"/>
    <w:unhideWhenUsed/>
    <w:rsid w:val="008D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13"/>
  </w:style>
  <w:style w:type="paragraph" w:styleId="ListParagraph">
    <w:name w:val="List Paragraph"/>
    <w:basedOn w:val="Normal"/>
    <w:uiPriority w:val="34"/>
    <w:qFormat/>
    <w:rsid w:val="00A3684F"/>
    <w:pPr>
      <w:spacing w:after="160" w:line="259" w:lineRule="auto"/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A3684F"/>
    <w:rPr>
      <w:color w:val="1F255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8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F0B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1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E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2009"/>
    <w:rPr>
      <w:color w:val="1F25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unity.pega.com/knowledgebase/articles/pega-project-delivery-lifecycle/define-minimum-loveable-produc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academy.peg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pega.com/knowledgebase/capabilities/devo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pega.com/mypegaprd/PRAuth/DO7joI3soeSoOCkz5pMNmA%5B%5B*/!STANDAR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mmunity.pega.com/knowledgebase/project/pega-expr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ademy.pega.com/library/na/introduction-to-product-owner-role-in-scru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ega.com/insights/resources/pega-delivery-excellence-workshop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gc\Downloads\Pega_Branded_Header_Word_Template_US_size.dotx" TargetMode="External"/></Relationships>
</file>

<file path=word/theme/theme1.xml><?xml version="1.0" encoding="utf-8"?>
<a:theme xmlns:a="http://schemas.openxmlformats.org/drawingml/2006/main" name="Pega Theme 8 2017">
  <a:themeElements>
    <a:clrScheme name="Pega">
      <a:dk1>
        <a:srgbClr val="1F2555"/>
      </a:dk1>
      <a:lt1>
        <a:srgbClr val="FFFFFF"/>
      </a:lt1>
      <a:dk2>
        <a:srgbClr val="00A6A7"/>
      </a:dk2>
      <a:lt2>
        <a:srgbClr val="F4F3F3"/>
      </a:lt2>
      <a:accent1>
        <a:srgbClr val="1F2555"/>
      </a:accent1>
      <a:accent2>
        <a:srgbClr val="00A6A7"/>
      </a:accent2>
      <a:accent3>
        <a:srgbClr val="EC5A28"/>
      </a:accent3>
      <a:accent4>
        <a:srgbClr val="F9CB55"/>
      </a:accent4>
      <a:accent5>
        <a:srgbClr val="D2D0CE"/>
      </a:accent5>
      <a:accent6>
        <a:srgbClr val="ABA9AB"/>
      </a:accent6>
      <a:hlink>
        <a:srgbClr val="1F2555"/>
      </a:hlink>
      <a:folHlink>
        <a:srgbClr val="1F2555"/>
      </a:folHlink>
    </a:clrScheme>
    <a:fontScheme name="Peg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Pega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/>
      <a:lstStyle>
        <a:defPPr algn="ctr">
          <a:defRPr sz="1200"/>
        </a:defPPr>
      </a:lstStyle>
      <a:style>
        <a:lnRef idx="0">
          <a:schemeClr val="dk1"/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>
        <a:ln w="6350" cap="sq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lt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2880" indent="-182880">
          <a:lnSpc>
            <a:spcPct val="100000"/>
          </a:lnSpc>
          <a:spcBef>
            <a:spcPts val="900"/>
          </a:spcBef>
          <a:buClr>
            <a:srgbClr val="00A6A7"/>
          </a:buClr>
          <a:buFont typeface="Calibri" pitchFamily="34" charset="0"/>
          <a:buChar char="•"/>
          <a:defRPr sz="1200"/>
        </a:defPPr>
      </a:lstStyle>
    </a:txDef>
  </a:objectDefaults>
  <a:extraClrSchemeLst/>
  <a:custClrLst>
    <a:custClr name="Dark Blue 75%">
      <a:srgbClr val="575C80"/>
    </a:custClr>
    <a:custClr name="Dark Blue 50%">
      <a:srgbClr val="8F92AA"/>
    </a:custClr>
    <a:custClr name="Dark Blue 25%">
      <a:srgbClr val="C7C8D4"/>
    </a:custClr>
    <a:custClr name="Teal 75%">
      <a:srgbClr val="40BCBD"/>
    </a:custClr>
    <a:custClr name="Teal 50%">
      <a:srgbClr val="7FD2D3"/>
    </a:custClr>
    <a:custClr name="Teal 25%">
      <a:srgbClr val="BFE9E9"/>
    </a:custClr>
    <a:custClr name="Orange 75%">
      <a:srgbClr val="F1835E"/>
    </a:custClr>
    <a:custClr name="Orange 50%">
      <a:srgbClr val="F5AC93"/>
    </a:custClr>
    <a:custClr name="Orange 25%">
      <a:srgbClr val="FAD6C9"/>
    </a:custClr>
    <a:custClr name="Yellow 75%">
      <a:srgbClr val="FBD880"/>
    </a:custClr>
    <a:custClr name="Yellow 50%">
      <a:srgbClr val="FCE5AA"/>
    </a:custClr>
    <a:custClr name="Yellow 25%">
      <a:srgbClr val="FDF2D4"/>
    </a:custClr>
    <a:custClr name="Light Grey 75%">
      <a:srgbClr val="DDDCDA"/>
    </a:custClr>
    <a:custClr name="Light Grey 50%">
      <a:srgbClr val="E8E7E6"/>
    </a:custClr>
    <a:custClr name="Light Grey 25%">
      <a:srgbClr val="F4F3F3"/>
    </a:custClr>
    <a:custClr name="Dark Grey 75%">
      <a:srgbClr val="C0BFC0"/>
    </a:custClr>
    <a:custClr name="Dark Grey 50%">
      <a:srgbClr val="D5D4D5"/>
    </a:custClr>
    <a:custClr name="Dark Grey 25%">
      <a:srgbClr val="EAE9EA"/>
    </a:custClr>
  </a:custClrLst>
  <a:extLst>
    <a:ext uri="{05A4C25C-085E-4340-85A3-A5531E510DB2}">
      <thm15:themeFamily xmlns:thm15="http://schemas.microsoft.com/office/thememl/2012/main" name="Pega Theme 8 2017" id="{F57C6271-E21C-E542-9915-67C8A75CCCEE}" vid="{4D9BF593-A361-844A-A36D-EEF0822A20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BFAAD426524287F2C8D4805024F8" ma:contentTypeVersion="10" ma:contentTypeDescription="Create a new document." ma:contentTypeScope="" ma:versionID="fa8cbbb52494dd5c1f3f3068997ddd04">
  <xsd:schema xmlns:xsd="http://www.w3.org/2001/XMLSchema" xmlns:xs="http://www.w3.org/2001/XMLSchema" xmlns:p="http://schemas.microsoft.com/office/2006/metadata/properties" xmlns:ns3="adb1ccb6-3f0c-4bca-adf5-88902458f1e7" targetNamespace="http://schemas.microsoft.com/office/2006/metadata/properties" ma:root="true" ma:fieldsID="bef018df87fe59258be6a3713458c2d7" ns3:_="">
    <xsd:import namespace="adb1ccb6-3f0c-4bca-adf5-88902458f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ccb6-3f0c-4bca-adf5-88902458f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10679-7B98-464B-A7B6-282811E69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ccb6-3f0c-4bca-adf5-88902458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652A6-786C-4234-AD69-03122A155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29E6F-D6B6-42EC-81E8-1F9F6747FFB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db1ccb6-3f0c-4bca-adf5-88902458f1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Pega_Branded_Header_Word_Template_US_size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Colleen</dc:creator>
  <cp:keywords/>
  <dc:description/>
  <cp:lastModifiedBy>Kirkham, Anthony</cp:lastModifiedBy>
  <cp:revision>2</cp:revision>
  <dcterms:created xsi:type="dcterms:W3CDTF">2020-02-05T02:07:00Z</dcterms:created>
  <dcterms:modified xsi:type="dcterms:W3CDTF">2020-02-05T02:07:00Z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0x010100A018BFAAD426524287F2C8D4805024F8</vt:lpwstr>
  </property>
</Properties>
</file>